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76808" w14:textId="4E626DB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CA7FC1">
        <w:rPr>
          <w:sz w:val="32"/>
          <w:szCs w:val="32"/>
        </w:rPr>
        <w:t>10068</w:t>
      </w:r>
    </w:p>
    <w:p w14:paraId="287E9F66"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1CB5D124" w14:textId="77777777" w:rsidR="00E90E49" w:rsidRPr="00CE0424" w:rsidRDefault="00E90E49" w:rsidP="00357380">
      <w:pPr>
        <w:pStyle w:val="3GPPHeader"/>
      </w:pPr>
    </w:p>
    <w:p w14:paraId="06252331" w14:textId="53FE9257" w:rsidR="00E90E49" w:rsidRPr="00CA7FC1" w:rsidRDefault="00E90E49" w:rsidP="00311702">
      <w:pPr>
        <w:pStyle w:val="3GPPHeader"/>
        <w:rPr>
          <w:sz w:val="22"/>
          <w:szCs w:val="22"/>
          <w:lang w:val="en-US"/>
        </w:rPr>
      </w:pPr>
      <w:r w:rsidRPr="00CA7FC1">
        <w:rPr>
          <w:sz w:val="22"/>
          <w:szCs w:val="22"/>
          <w:lang w:val="en-US"/>
        </w:rPr>
        <w:t>Agenda Item:</w:t>
      </w:r>
      <w:r w:rsidRPr="00CA7FC1">
        <w:rPr>
          <w:sz w:val="22"/>
          <w:szCs w:val="22"/>
          <w:lang w:val="en-US"/>
        </w:rPr>
        <w:tab/>
      </w:r>
      <w:r w:rsidR="00414223" w:rsidRPr="00CA7FC1">
        <w:rPr>
          <w:sz w:val="22"/>
          <w:szCs w:val="22"/>
          <w:lang w:val="en-US"/>
        </w:rPr>
        <w:t>10.3.1.13</w:t>
      </w:r>
    </w:p>
    <w:p w14:paraId="59C3C71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5720" w14:textId="77777777" w:rsidR="00E90E49" w:rsidRPr="00414223" w:rsidRDefault="003D3C45" w:rsidP="00311702">
      <w:pPr>
        <w:pStyle w:val="3GPPHeader"/>
        <w:rPr>
          <w:sz w:val="22"/>
          <w:szCs w:val="22"/>
        </w:rPr>
      </w:pPr>
      <w:r w:rsidRPr="00414223">
        <w:rPr>
          <w:sz w:val="22"/>
          <w:szCs w:val="22"/>
        </w:rPr>
        <w:t>Title:</w:t>
      </w:r>
      <w:r w:rsidR="00E90E49" w:rsidRPr="00414223">
        <w:rPr>
          <w:sz w:val="22"/>
          <w:szCs w:val="22"/>
        </w:rPr>
        <w:tab/>
      </w:r>
      <w:r w:rsidR="00EC7761" w:rsidRPr="00414223">
        <w:rPr>
          <w:sz w:val="22"/>
          <w:szCs w:val="22"/>
        </w:rPr>
        <w:t>UL BWP switch for CBRA</w:t>
      </w:r>
    </w:p>
    <w:p w14:paraId="75AD2F9A" w14:textId="77777777" w:rsidR="00E90E49" w:rsidRDefault="00E90E49" w:rsidP="00D546FF">
      <w:pPr>
        <w:pStyle w:val="3GPPHeader"/>
        <w:rPr>
          <w:sz w:val="22"/>
          <w:szCs w:val="22"/>
        </w:rPr>
      </w:pPr>
      <w:r w:rsidRPr="00414223">
        <w:rPr>
          <w:sz w:val="22"/>
          <w:szCs w:val="22"/>
        </w:rPr>
        <w:t>Document for:</w:t>
      </w:r>
      <w:r w:rsidRPr="00414223">
        <w:rPr>
          <w:sz w:val="22"/>
          <w:szCs w:val="22"/>
        </w:rPr>
        <w:tab/>
        <w:t>Discussion, Decision</w:t>
      </w:r>
    </w:p>
    <w:p w14:paraId="1955F8A3" w14:textId="77777777" w:rsidR="00C24345" w:rsidRDefault="00E90E49" w:rsidP="00A2052C">
      <w:pPr>
        <w:pStyle w:val="Heading1"/>
      </w:pPr>
      <w:r w:rsidRPr="00CE0424">
        <w:t>Introduction</w:t>
      </w:r>
    </w:p>
    <w:p w14:paraId="12303732" w14:textId="3EED7E2C" w:rsidR="00A2052C" w:rsidRPr="00A2052C" w:rsidRDefault="00335438" w:rsidP="00A2052C">
      <w:r>
        <w:t>In RAN2#102, the possibilities of a UE switching to another BWP than the initial BWP if the active BWP does not have PRACH resources was discussed. In this contribution, some further aspects of this problem are discussed.</w:t>
      </w:r>
    </w:p>
    <w:p w14:paraId="5EC2328F" w14:textId="77777777" w:rsidR="004000E8" w:rsidRPr="00CE0424" w:rsidRDefault="004000E8" w:rsidP="00CE0424">
      <w:pPr>
        <w:pStyle w:val="Heading1"/>
      </w:pPr>
      <w:bookmarkStart w:id="0" w:name="_Ref178064866"/>
      <w:r w:rsidRPr="00CE0424">
        <w:t>Discussion</w:t>
      </w:r>
      <w:bookmarkEnd w:id="0"/>
    </w:p>
    <w:p w14:paraId="5907BD88" w14:textId="4DDA4F9B" w:rsidR="00335438" w:rsidRDefault="00335438" w:rsidP="00CE0424">
      <w:pPr>
        <w:pStyle w:val="BodyText"/>
      </w:pPr>
      <w:r>
        <w:t>At the previous RAN2#102</w:t>
      </w:r>
      <w:r w:rsidR="006D0772">
        <w:t xml:space="preserve"> meeting</w:t>
      </w:r>
      <w:r>
        <w:t xml:space="preserve">, it was proposed in </w:t>
      </w:r>
      <w:r>
        <w:fldChar w:fldCharType="begin"/>
      </w:r>
      <w:r>
        <w:instrText xml:space="preserve"> REF _Ref516922884 \r \h </w:instrText>
      </w:r>
      <w:r>
        <w:fldChar w:fldCharType="separate"/>
      </w:r>
      <w:r>
        <w:t>[1]</w:t>
      </w:r>
      <w:r>
        <w:fldChar w:fldCharType="end"/>
      </w:r>
      <w:r>
        <w:t xml:space="preserve"> and </w:t>
      </w:r>
      <w:r>
        <w:fldChar w:fldCharType="begin"/>
      </w:r>
      <w:r>
        <w:instrText xml:space="preserve"> REF _Ref516922897 \r \h </w:instrText>
      </w:r>
      <w:r>
        <w:fldChar w:fldCharType="separate"/>
      </w:r>
      <w:r>
        <w:t>[2]</w:t>
      </w:r>
      <w:r>
        <w:fldChar w:fldCharType="end"/>
      </w:r>
      <w:r>
        <w:t xml:space="preserve"> that a UE would be allowed to switch to another BWP than the initial BWP, in case the active BWP does not have PRACH resources</w:t>
      </w:r>
      <w:r w:rsidRPr="00CE0424">
        <w:t xml:space="preserve"> </w:t>
      </w:r>
      <w:r>
        <w:t xml:space="preserve">and the BWP which the UE switches to has PRACH resources configured. The benefits of relaxing the </w:t>
      </w:r>
      <w:r w:rsidR="00B54F61">
        <w:t xml:space="preserve">condition of which BWP the </w:t>
      </w:r>
      <w:r w:rsidR="00382E5B">
        <w:t xml:space="preserve">UE </w:t>
      </w:r>
      <w:r w:rsidR="00B54F61">
        <w:t xml:space="preserve">switches to for CBRA is to avoid possible </w:t>
      </w:r>
      <w:r w:rsidR="00F70172">
        <w:t xml:space="preserve">PRACH </w:t>
      </w:r>
      <w:r w:rsidR="00B54F61">
        <w:t xml:space="preserve">congestion </w:t>
      </w:r>
      <w:r w:rsidR="00F70172">
        <w:t>o</w:t>
      </w:r>
      <w:r w:rsidR="00B54F61">
        <w:t>n the initial BWP</w:t>
      </w:r>
      <w:r w:rsidR="00AC37F8">
        <w:t>. This is</w:t>
      </w:r>
      <w:r w:rsidR="00B54F61">
        <w:t xml:space="preserve"> caused by UEs doing initial access to the cell and </w:t>
      </w:r>
      <w:r w:rsidR="00090CEA">
        <w:t xml:space="preserve">from </w:t>
      </w:r>
      <w:r w:rsidR="00B54F61">
        <w:t>connected UEs in</w:t>
      </w:r>
      <w:r w:rsidR="00F70172">
        <w:t xml:space="preserve"> the cell</w:t>
      </w:r>
      <w:r w:rsidR="00B54F61">
        <w:t xml:space="preserve"> with no configured PRACH on their active BWPs and therefore switching to the initial BWP for CBRA. It could also allow a slightly</w:t>
      </w:r>
      <w:r>
        <w:t xml:space="preserve"> </w:t>
      </w:r>
      <w:r w:rsidR="00B54F61">
        <w:t>more flexible BWP configuration with respect to allocating PRACH resources on BWPs, e.g. it may be necessary to configure PRACH on all BWPs to avoid congestion on the initial BWP if all BWP switching for CBRA is done towards the initial BWP.</w:t>
      </w:r>
    </w:p>
    <w:p w14:paraId="6B259224" w14:textId="6B3E4A50" w:rsidR="00B54F61" w:rsidRPr="00CE0424" w:rsidRDefault="00B54F61" w:rsidP="00B54F61">
      <w:pPr>
        <w:pStyle w:val="Observation"/>
      </w:pPr>
      <w:bookmarkStart w:id="1" w:name="_Toc347822666"/>
      <w:bookmarkStart w:id="2" w:name="_Toc347823812"/>
      <w:bookmarkStart w:id="3" w:name="_Toc347823993"/>
      <w:bookmarkStart w:id="4" w:name="_Toc347824244"/>
      <w:bookmarkStart w:id="5" w:name="_Toc516926502"/>
      <w:bookmarkStart w:id="6" w:name="_Toc517288992"/>
      <w:r w:rsidRPr="00CE0424">
        <w:t>A</w:t>
      </w:r>
      <w:r>
        <w:t xml:space="preserve">llowing switching to </w:t>
      </w:r>
      <w:r w:rsidR="000875BB">
        <w:t>other BWPs than the initial BWP for CBRA when no PRACH resources are configured on the active BWP will reduce possible PRACH congestion on the initial BWP.</w:t>
      </w:r>
      <w:bookmarkEnd w:id="1"/>
      <w:bookmarkEnd w:id="2"/>
      <w:bookmarkEnd w:id="3"/>
      <w:bookmarkEnd w:id="4"/>
      <w:bookmarkEnd w:id="5"/>
      <w:bookmarkEnd w:id="6"/>
    </w:p>
    <w:p w14:paraId="5DBA6D6F" w14:textId="3CFB9C49" w:rsidR="006D0772" w:rsidRDefault="00F70172" w:rsidP="00CE0424">
      <w:pPr>
        <w:pStyle w:val="BodyText"/>
      </w:pPr>
      <w:r>
        <w:t xml:space="preserve">A potential issue if allowing UEs to switch BWP to another BWP than the initial BWP is that the network does not know on which DL BWP is reachable until the CBRA procedure has been completed. Since the scenario we are discussing is for connected UEs, these UEs will not be able to receive downlink assignments during this period unless the </w:t>
      </w:r>
      <w:proofErr w:type="spellStart"/>
      <w:r>
        <w:t>gNB</w:t>
      </w:r>
      <w:proofErr w:type="spellEnd"/>
      <w:r>
        <w:t xml:space="preserve"> sends these on all DL BWPs. </w:t>
      </w:r>
      <w:r w:rsidR="006D0772">
        <w:t xml:space="preserve">This would waste resources and probably cause extra delay. If the UE is forced to switch to the initial BWP, the </w:t>
      </w:r>
      <w:proofErr w:type="spellStart"/>
      <w:r w:rsidR="006D0772">
        <w:t>gNB</w:t>
      </w:r>
      <w:proofErr w:type="spellEnd"/>
      <w:r w:rsidR="006D0772">
        <w:t xml:space="preserve"> has two possible BWPs where the UE can be, while if the UE can </w:t>
      </w:r>
      <w:r w:rsidR="004E4EAE">
        <w:t>choose</w:t>
      </w:r>
      <w:r w:rsidR="006D0772">
        <w:t xml:space="preserve"> any BWP with PRACH resources, there can be up to f</w:t>
      </w:r>
      <w:r w:rsidR="00682DCD">
        <w:t xml:space="preserve">our </w:t>
      </w:r>
      <w:r w:rsidR="006D0772">
        <w:t>optional BWPs where the UE can be.</w:t>
      </w:r>
      <w:r w:rsidR="00682DCD">
        <w:t xml:space="preserve"> The </w:t>
      </w:r>
      <w:proofErr w:type="gramStart"/>
      <w:r w:rsidR="00682DCD">
        <w:t>time period</w:t>
      </w:r>
      <w:proofErr w:type="gramEnd"/>
      <w:r w:rsidR="00682DCD">
        <w:t xml:space="preserve"> </w:t>
      </w:r>
      <w:r w:rsidR="006F6DB7">
        <w:t xml:space="preserve">during </w:t>
      </w:r>
      <w:r w:rsidR="00682DCD">
        <w:t>wh</w:t>
      </w:r>
      <w:r w:rsidR="006F6DB7">
        <w:t>ich</w:t>
      </w:r>
      <w:r w:rsidR="00682DCD">
        <w:t xml:space="preserve"> the </w:t>
      </w:r>
      <w:proofErr w:type="spellStart"/>
      <w:r w:rsidR="00682DCD">
        <w:t>gNB</w:t>
      </w:r>
      <w:proofErr w:type="spellEnd"/>
      <w:r w:rsidR="00682DCD">
        <w:t xml:space="preserve"> may fail to reach the on the BWP which the </w:t>
      </w:r>
      <w:proofErr w:type="spellStart"/>
      <w:r w:rsidR="00682DCD">
        <w:t>gNB</w:t>
      </w:r>
      <w:proofErr w:type="spellEnd"/>
      <w:r w:rsidR="00682DCD">
        <w:t xml:space="preserve"> </w:t>
      </w:r>
      <w:r w:rsidR="00CA4999">
        <w:t>assumes</w:t>
      </w:r>
      <w:r w:rsidR="00682DCD">
        <w:t xml:space="preserve"> is the UEs active BWP can be quite extensive since a CBRA can be delayed by multiple </w:t>
      </w:r>
      <w:proofErr w:type="spellStart"/>
      <w:r w:rsidR="00682DCD">
        <w:t>Backoffs</w:t>
      </w:r>
      <w:proofErr w:type="spellEnd"/>
      <w:r w:rsidR="00682DCD">
        <w:t xml:space="preserve"> and multiple Contention resolution failures.</w:t>
      </w:r>
    </w:p>
    <w:p w14:paraId="7F1CF9C0" w14:textId="1F97B7E6" w:rsidR="00682DCD" w:rsidRPr="00CE0424" w:rsidRDefault="00CA4999" w:rsidP="00682DCD">
      <w:pPr>
        <w:pStyle w:val="Observation"/>
      </w:pPr>
      <w:bookmarkStart w:id="7" w:name="_Toc516926503"/>
      <w:bookmarkStart w:id="8" w:name="_Toc517288993"/>
      <w:r>
        <w:t xml:space="preserve">If the UE </w:t>
      </w:r>
      <w:proofErr w:type="gramStart"/>
      <w:r>
        <w:t>is allowed to</w:t>
      </w:r>
      <w:proofErr w:type="gramEnd"/>
      <w:r>
        <w:t xml:space="preserve"> select any BWP with PRACH resources when its active BWP lacks PRACH resources, it will be more problematic for the </w:t>
      </w:r>
      <w:proofErr w:type="spellStart"/>
      <w:r>
        <w:t>gNb</w:t>
      </w:r>
      <w:proofErr w:type="spellEnd"/>
      <w:r>
        <w:t xml:space="preserve"> to reach the UE during the CBRA procedure</w:t>
      </w:r>
      <w:r w:rsidR="00682DCD">
        <w:t>.</w:t>
      </w:r>
      <w:bookmarkEnd w:id="7"/>
      <w:bookmarkEnd w:id="8"/>
    </w:p>
    <w:p w14:paraId="7DE5A447" w14:textId="714CCD57" w:rsidR="008C0878" w:rsidRDefault="00CA4999" w:rsidP="00CE0424">
      <w:pPr>
        <w:pStyle w:val="BodyText"/>
      </w:pPr>
      <w:r w:rsidRPr="00CA4999">
        <w:t>Based on the above</w:t>
      </w:r>
      <w:r>
        <w:t xml:space="preserve"> it seems reasonable to balance the risk of having congested PRACH resources on the initial BWP with the </w:t>
      </w:r>
      <w:proofErr w:type="spellStart"/>
      <w:r>
        <w:t>gNBs</w:t>
      </w:r>
      <w:proofErr w:type="spellEnd"/>
      <w:r>
        <w:t xml:space="preserve"> problem of reaching the UE i</w:t>
      </w:r>
      <w:r w:rsidR="006D68BA">
        <w:t>f</w:t>
      </w:r>
      <w:r>
        <w:t xml:space="preserve"> it </w:t>
      </w:r>
      <w:proofErr w:type="gramStart"/>
      <w:r>
        <w:t>is allowed to</w:t>
      </w:r>
      <w:proofErr w:type="gramEnd"/>
      <w:r>
        <w:t xml:space="preserve"> switch BWP in a more or less uncontrolled way. One approach is to configure to which BWP the UE should switch. This would limit the possible BWPs where the UE can be and is advantageous from </w:t>
      </w:r>
      <w:r w:rsidR="008C0878">
        <w:t>DL performance perspective.</w:t>
      </w:r>
    </w:p>
    <w:p w14:paraId="1C51F0A4" w14:textId="6CEB6A15" w:rsidR="00CA4999" w:rsidRPr="00CA4999" w:rsidRDefault="008C0878" w:rsidP="00CE0424">
      <w:pPr>
        <w:pStyle w:val="BodyText"/>
      </w:pPr>
      <w:r>
        <w:t xml:space="preserve">Another approach would be to only allow a switch to a different BWP when the initial BWP proves to be congested. This could be achieved by keeping the current procedure to first switch to the initial BWP. If the UE receives one or several </w:t>
      </w:r>
      <w:proofErr w:type="spellStart"/>
      <w:r>
        <w:t>Backoffs</w:t>
      </w:r>
      <w:proofErr w:type="spellEnd"/>
      <w:r>
        <w:t xml:space="preserve"> it should retry on another configured UL BWP. The condition could also be tied to the number of preamble transmissions the UE has done, e.g. after k failed preambles transmissions, the UE tries on a different configured UL BWP.</w:t>
      </w:r>
    </w:p>
    <w:p w14:paraId="096C89B0" w14:textId="226AFD14" w:rsidR="00335438" w:rsidRDefault="008C0878" w:rsidP="00CE0424">
      <w:pPr>
        <w:pStyle w:val="BodyText"/>
      </w:pPr>
      <w:r>
        <w:rPr>
          <w:lang w:eastAsia="ko-KR"/>
        </w:rPr>
        <w:lastRenderedPageBreak/>
        <w:t>To conclude, allowing the UE to switch to a different UL BWP than the initial BWP when PRACH resources are not configured on the active BWP would be beneficial but requires some work to detail all aspects of an exact solution. Considering the current standardization time plan, we believe this should be left for Rel. 16.</w:t>
      </w:r>
    </w:p>
    <w:p w14:paraId="21555B01" w14:textId="75BC64C0" w:rsidR="00287838" w:rsidRPr="00A04F49" w:rsidRDefault="008C0878" w:rsidP="00A04F49">
      <w:pPr>
        <w:pStyle w:val="Proposal"/>
      </w:pPr>
      <w:bookmarkStart w:id="9" w:name="_Ref190406817"/>
      <w:bookmarkStart w:id="10" w:name="_Toc226862296"/>
      <w:bookmarkStart w:id="11" w:name="_Toc347823621"/>
      <w:bookmarkStart w:id="12" w:name="_Toc347824073"/>
      <w:bookmarkStart w:id="13" w:name="_Toc347824246"/>
      <w:bookmarkStart w:id="14" w:name="_Toc516926763"/>
      <w:bookmarkStart w:id="15" w:name="_Toc517288994"/>
      <w:bookmarkStart w:id="16" w:name="_Toc517361178"/>
      <w:r>
        <w:rPr>
          <w:lang w:eastAsia="ko-KR"/>
        </w:rPr>
        <w:t>Allowing the UE to switch to a different UL BWP than the initial BWP when PRACH resources are not configured on the active BWP should be considered for NR Rel</w:t>
      </w:r>
      <w:r w:rsidR="00B27314">
        <w:rPr>
          <w:lang w:eastAsia="ko-KR"/>
        </w:rPr>
        <w:t>-</w:t>
      </w:r>
      <w:r>
        <w:rPr>
          <w:lang w:eastAsia="ko-KR"/>
        </w:rPr>
        <w:t>16</w:t>
      </w:r>
      <w:bookmarkEnd w:id="9"/>
      <w:bookmarkEnd w:id="10"/>
      <w:r w:rsidR="00CC2011" w:rsidRPr="00A04F49">
        <w:t>.</w:t>
      </w:r>
      <w:bookmarkEnd w:id="11"/>
      <w:bookmarkEnd w:id="12"/>
      <w:bookmarkEnd w:id="13"/>
      <w:bookmarkEnd w:id="14"/>
      <w:bookmarkEnd w:id="15"/>
      <w:bookmarkEnd w:id="16"/>
    </w:p>
    <w:p w14:paraId="4FDCF511" w14:textId="77777777" w:rsidR="00C01F33" w:rsidRPr="00CE0424" w:rsidRDefault="00C01F33" w:rsidP="00CE0424">
      <w:pPr>
        <w:pStyle w:val="Heading1"/>
      </w:pPr>
      <w:r w:rsidRPr="00CE0424">
        <w:t>Conclusion</w:t>
      </w:r>
    </w:p>
    <w:p w14:paraId="5A145C7E" w14:textId="77777777" w:rsidR="0041422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C776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A2D2523" w14:textId="77777777" w:rsidR="00414223" w:rsidRPr="00414223" w:rsidRDefault="00414223">
      <w:pPr>
        <w:pStyle w:val="TOC1"/>
        <w:rPr>
          <w:rFonts w:asciiTheme="minorHAnsi" w:eastAsiaTheme="minorEastAsia" w:hAnsiTheme="minorHAnsi" w:cstheme="minorBidi"/>
          <w:b w:val="0"/>
          <w:sz w:val="22"/>
        </w:rPr>
      </w:pPr>
      <w:r>
        <w:t>Observation 1</w:t>
      </w:r>
      <w:r w:rsidRPr="00414223">
        <w:rPr>
          <w:rFonts w:asciiTheme="minorHAnsi" w:eastAsiaTheme="minorEastAsia" w:hAnsiTheme="minorHAnsi" w:cstheme="minorBidi"/>
          <w:b w:val="0"/>
          <w:sz w:val="22"/>
        </w:rPr>
        <w:tab/>
      </w:r>
      <w:r>
        <w:t>Allowing switching to other BWPs than the initial BWP for CBRA when no PRACH resources are configured on the active BWP will reduce possible PRACH congestion on the initial BWP.</w:t>
      </w:r>
    </w:p>
    <w:p w14:paraId="10F6A7FA" w14:textId="77777777" w:rsidR="00414223" w:rsidRPr="00414223" w:rsidRDefault="00414223">
      <w:pPr>
        <w:pStyle w:val="TOC1"/>
        <w:rPr>
          <w:rFonts w:asciiTheme="minorHAnsi" w:eastAsiaTheme="minorEastAsia" w:hAnsiTheme="minorHAnsi" w:cstheme="minorBidi"/>
          <w:b w:val="0"/>
          <w:sz w:val="22"/>
        </w:rPr>
      </w:pPr>
      <w:r>
        <w:t>Observation 2</w:t>
      </w:r>
      <w:r w:rsidRPr="00414223">
        <w:rPr>
          <w:rFonts w:asciiTheme="minorHAnsi" w:eastAsiaTheme="minorEastAsia" w:hAnsiTheme="minorHAnsi" w:cstheme="minorBidi"/>
          <w:b w:val="0"/>
          <w:sz w:val="22"/>
        </w:rPr>
        <w:tab/>
      </w:r>
      <w:r>
        <w:t>If the UE is allowed to select any BWP with PRACH resources when its active BWP lacks PRACH resources, it will be more problematic for the gNb to reach the UE during the CBRA procedure.</w:t>
      </w:r>
    </w:p>
    <w:p w14:paraId="68FD1EB2" w14:textId="77777777" w:rsidR="008E065E" w:rsidRDefault="008E065E" w:rsidP="008E065E">
      <w:pPr>
        <w:pStyle w:val="BodyText"/>
        <w:rPr>
          <w:b/>
          <w:bCs/>
        </w:rPr>
      </w:pPr>
      <w:r>
        <w:rPr>
          <w:b/>
          <w:bCs/>
        </w:rPr>
        <w:fldChar w:fldCharType="end"/>
      </w:r>
    </w:p>
    <w:p w14:paraId="796870CF" w14:textId="77777777" w:rsidR="00B2731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C776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BCAD16" w14:textId="77777777" w:rsidR="00B27314" w:rsidRPr="00B27314" w:rsidRDefault="00B27314">
      <w:pPr>
        <w:pStyle w:val="TOC1"/>
        <w:rPr>
          <w:rFonts w:asciiTheme="minorHAnsi" w:eastAsiaTheme="minorEastAsia" w:hAnsiTheme="minorHAnsi" w:cstheme="minorBidi"/>
          <w:b w:val="0"/>
          <w:sz w:val="22"/>
        </w:rPr>
      </w:pPr>
      <w:r>
        <w:t>Proposal 1</w:t>
      </w:r>
      <w:r w:rsidRPr="00B27314">
        <w:rPr>
          <w:rFonts w:asciiTheme="minorHAnsi" w:eastAsiaTheme="minorEastAsia" w:hAnsiTheme="minorHAnsi" w:cstheme="minorBidi"/>
          <w:b w:val="0"/>
          <w:sz w:val="22"/>
        </w:rPr>
        <w:tab/>
      </w:r>
      <w:r>
        <w:rPr>
          <w:lang w:eastAsia="ko-KR"/>
        </w:rPr>
        <w:t>Allowing the UE to switch to a different UL BWP than the initial BWP when PRACH resources are not configured on the active BWP should be considered for NR Rel-16</w:t>
      </w:r>
      <w:r>
        <w:t>.</w:t>
      </w:r>
    </w:p>
    <w:p w14:paraId="3B6DA3D7" w14:textId="77777777" w:rsidR="008E065E" w:rsidRPr="00CE0424" w:rsidRDefault="008E065E" w:rsidP="008E065E">
      <w:pPr>
        <w:rPr>
          <w:b/>
          <w:bCs/>
        </w:rPr>
      </w:pPr>
      <w:r>
        <w:rPr>
          <w:b/>
          <w:bCs/>
        </w:rPr>
        <w:fldChar w:fldCharType="end"/>
      </w:r>
      <w:bookmarkStart w:id="17" w:name="_GoBack"/>
      <w:bookmarkEnd w:id="17"/>
    </w:p>
    <w:p w14:paraId="402D6EC6" w14:textId="77777777" w:rsidR="00F507D1" w:rsidRPr="00CE0424" w:rsidRDefault="00F507D1" w:rsidP="00CE0424">
      <w:pPr>
        <w:pStyle w:val="Heading1"/>
      </w:pPr>
      <w:bookmarkStart w:id="18" w:name="_In-sequence_SDU_delivery"/>
      <w:bookmarkEnd w:id="18"/>
      <w:r w:rsidRPr="00CE0424">
        <w:t>References</w:t>
      </w:r>
    </w:p>
    <w:p w14:paraId="463B1B7B" w14:textId="77777777" w:rsidR="00265597" w:rsidRPr="00F15A70" w:rsidRDefault="00265597" w:rsidP="00265597">
      <w:pPr>
        <w:pStyle w:val="Reference"/>
      </w:pPr>
      <w:bookmarkStart w:id="19" w:name="_Ref516922884"/>
      <w:bookmarkStart w:id="20" w:name="_Ref174151459"/>
      <w:bookmarkStart w:id="21" w:name="_Ref189809556"/>
      <w:r>
        <w:t xml:space="preserve">R2-1807267, </w:t>
      </w:r>
      <w:r w:rsidRPr="00A959BF">
        <w:t xml:space="preserve">On selecting UL BWP for CBRA, MediaTek Inc., Qualcomm Incorporated, Panasonic, </w:t>
      </w:r>
      <w:r w:rsidRPr="007911C2">
        <w:t>3GPP TSG-RAN WG2 Meeting #</w:t>
      </w:r>
      <w:r>
        <w:t>102, 21</w:t>
      </w:r>
      <w:r w:rsidRPr="007911C2">
        <w:t>th</w:t>
      </w:r>
      <w:r>
        <w:t xml:space="preserve"> - 25th May 2018</w:t>
      </w:r>
    </w:p>
    <w:p w14:paraId="29FF8489" w14:textId="4CA40D60" w:rsidR="005F3025" w:rsidRPr="00CE0424" w:rsidRDefault="00265597" w:rsidP="00311702">
      <w:pPr>
        <w:pStyle w:val="Reference"/>
      </w:pPr>
      <w:r w:rsidRPr="00265597">
        <w:t>R2-1807536</w:t>
      </w:r>
      <w:r w:rsidR="005F3025" w:rsidRPr="00CE0424">
        <w:t xml:space="preserve">, </w:t>
      </w:r>
      <w:r w:rsidRPr="00265597">
        <w:rPr>
          <w:rFonts w:hint="eastAsia"/>
        </w:rPr>
        <w:t>Switching BWP for CB RACH</w:t>
      </w:r>
      <w:r w:rsidR="005F3025" w:rsidRPr="00CE0424">
        <w:t xml:space="preserve">, </w:t>
      </w:r>
      <w:r w:rsidRPr="00265597">
        <w:rPr>
          <w:rFonts w:hint="eastAsia"/>
        </w:rPr>
        <w:t>OPPO</w:t>
      </w:r>
      <w:r>
        <w:t>,</w:t>
      </w:r>
      <w:r w:rsidRPr="00265597">
        <w:t xml:space="preserve"> 3GPP TSG-RAN2 </w:t>
      </w:r>
      <w:r w:rsidRPr="00265597">
        <w:rPr>
          <w:rFonts w:hint="eastAsia"/>
        </w:rPr>
        <w:t>#102</w:t>
      </w:r>
      <w:r w:rsidR="005F3025" w:rsidRPr="00CE0424">
        <w:t xml:space="preserve">, </w:t>
      </w:r>
      <w:bookmarkEnd w:id="19"/>
      <w:r w:rsidRPr="00265597">
        <w:rPr>
          <w:rFonts w:hint="eastAsia"/>
        </w:rPr>
        <w:t xml:space="preserve">21st May </w:t>
      </w:r>
      <w:r w:rsidRPr="00265597">
        <w:t xml:space="preserve">– </w:t>
      </w:r>
      <w:r w:rsidRPr="00265597">
        <w:rPr>
          <w:rFonts w:hint="eastAsia"/>
        </w:rPr>
        <w:t xml:space="preserve">25th May </w:t>
      </w:r>
      <w:r w:rsidRPr="00265597">
        <w:t>201</w:t>
      </w:r>
      <w:r w:rsidRPr="00265597">
        <w:rPr>
          <w:rFonts w:hint="eastAsia"/>
        </w:rPr>
        <w:t>8</w:t>
      </w:r>
      <w:bookmarkEnd w:id="20"/>
      <w:bookmarkEnd w:id="21"/>
    </w:p>
    <w:sectPr w:rsidR="005F3025"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04B40" w14:textId="77777777" w:rsidR="006852D5" w:rsidRDefault="006852D5">
      <w:r>
        <w:separator/>
      </w:r>
    </w:p>
  </w:endnote>
  <w:endnote w:type="continuationSeparator" w:id="0">
    <w:p w14:paraId="72C3A644" w14:textId="77777777" w:rsidR="006852D5" w:rsidRDefault="0068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CDED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282AF" w14:textId="77777777" w:rsidR="006852D5" w:rsidRDefault="006852D5">
      <w:r>
        <w:separator/>
      </w:r>
    </w:p>
  </w:footnote>
  <w:footnote w:type="continuationSeparator" w:id="0">
    <w:p w14:paraId="12714CED" w14:textId="77777777" w:rsidR="006852D5" w:rsidRDefault="0068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753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0F478C"/>
    <w:multiLevelType w:val="hybridMultilevel"/>
    <w:tmpl w:val="27FC6DE4"/>
    <w:lvl w:ilvl="0" w:tplc="6096F49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 w:numId="17">
    <w:abstractNumId w:val="11"/>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761"/>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875BB"/>
    <w:rsid w:val="0009009F"/>
    <w:rsid w:val="00090CE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4CE"/>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5597"/>
    <w:rsid w:val="00266214"/>
    <w:rsid w:val="00267C83"/>
    <w:rsid w:val="0027144F"/>
    <w:rsid w:val="00271F3A"/>
    <w:rsid w:val="00273278"/>
    <w:rsid w:val="002737F4"/>
    <w:rsid w:val="002805F5"/>
    <w:rsid w:val="00280751"/>
    <w:rsid w:val="0028280A"/>
    <w:rsid w:val="00286ACD"/>
    <w:rsid w:val="00287838"/>
    <w:rsid w:val="002907B5"/>
    <w:rsid w:val="00292EB7"/>
    <w:rsid w:val="00295824"/>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566D"/>
    <w:rsid w:val="00307220"/>
    <w:rsid w:val="00307BA1"/>
    <w:rsid w:val="00311702"/>
    <w:rsid w:val="00311E82"/>
    <w:rsid w:val="00313FD6"/>
    <w:rsid w:val="003143BD"/>
    <w:rsid w:val="00317A53"/>
    <w:rsid w:val="003203ED"/>
    <w:rsid w:val="00322C9F"/>
    <w:rsid w:val="00324D23"/>
    <w:rsid w:val="00331751"/>
    <w:rsid w:val="00334579"/>
    <w:rsid w:val="00335438"/>
    <w:rsid w:val="00335858"/>
    <w:rsid w:val="00336BDA"/>
    <w:rsid w:val="00342BD7"/>
    <w:rsid w:val="00343A07"/>
    <w:rsid w:val="00346DB5"/>
    <w:rsid w:val="003477B1"/>
    <w:rsid w:val="0035491B"/>
    <w:rsid w:val="00357380"/>
    <w:rsid w:val="003602D9"/>
    <w:rsid w:val="003604CE"/>
    <w:rsid w:val="00370E47"/>
    <w:rsid w:val="003742AC"/>
    <w:rsid w:val="00377CE1"/>
    <w:rsid w:val="00382E5B"/>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83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223"/>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4EA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DCD"/>
    <w:rsid w:val="00683ECE"/>
    <w:rsid w:val="006852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772"/>
    <w:rsid w:val="006D1E26"/>
    <w:rsid w:val="006D68BA"/>
    <w:rsid w:val="006D6F08"/>
    <w:rsid w:val="006E062C"/>
    <w:rsid w:val="006E28B7"/>
    <w:rsid w:val="006E3310"/>
    <w:rsid w:val="006E4E39"/>
    <w:rsid w:val="006E565E"/>
    <w:rsid w:val="006E673D"/>
    <w:rsid w:val="006E7D3B"/>
    <w:rsid w:val="006F1B70"/>
    <w:rsid w:val="006F341D"/>
    <w:rsid w:val="006F3CDE"/>
    <w:rsid w:val="006F58D4"/>
    <w:rsid w:val="006F6DB7"/>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878"/>
    <w:rsid w:val="008C0C99"/>
    <w:rsid w:val="008C2017"/>
    <w:rsid w:val="008C4958"/>
    <w:rsid w:val="008C4BAA"/>
    <w:rsid w:val="008C6AE8"/>
    <w:rsid w:val="008C7573"/>
    <w:rsid w:val="008D276C"/>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7F8"/>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314"/>
    <w:rsid w:val="00B2763F"/>
    <w:rsid w:val="00B27AAC"/>
    <w:rsid w:val="00B30929"/>
    <w:rsid w:val="00B34996"/>
    <w:rsid w:val="00B372AA"/>
    <w:rsid w:val="00B40445"/>
    <w:rsid w:val="00B41888"/>
    <w:rsid w:val="00B45A52"/>
    <w:rsid w:val="00B46175"/>
    <w:rsid w:val="00B54F61"/>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999"/>
    <w:rsid w:val="00CA7FC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3AA"/>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977"/>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61"/>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172"/>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61E18"/>
  <w15:chartTrackingRefBased/>
  <w15:docId w15:val="{53852044-D05C-49DB-98A7-796AECFA1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FC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A7F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A7F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A7FC1"/>
    <w:pPr>
      <w:numPr>
        <w:ilvl w:val="2"/>
      </w:numPr>
      <w:spacing w:before="120"/>
      <w:outlineLvl w:val="2"/>
    </w:pPr>
    <w:rPr>
      <w:sz w:val="28"/>
      <w:szCs w:val="28"/>
    </w:rPr>
  </w:style>
  <w:style w:type="paragraph" w:styleId="Heading4">
    <w:name w:val="heading 4"/>
    <w:basedOn w:val="Heading3"/>
    <w:next w:val="Normal"/>
    <w:qFormat/>
    <w:rsid w:val="00CA7FC1"/>
    <w:pPr>
      <w:numPr>
        <w:ilvl w:val="3"/>
      </w:numPr>
      <w:outlineLvl w:val="3"/>
    </w:pPr>
    <w:rPr>
      <w:sz w:val="24"/>
      <w:szCs w:val="24"/>
    </w:rPr>
  </w:style>
  <w:style w:type="paragraph" w:styleId="Heading5">
    <w:name w:val="heading 5"/>
    <w:basedOn w:val="Heading4"/>
    <w:next w:val="Normal"/>
    <w:qFormat/>
    <w:rsid w:val="00CA7FC1"/>
    <w:pPr>
      <w:numPr>
        <w:ilvl w:val="4"/>
      </w:numPr>
      <w:outlineLvl w:val="4"/>
    </w:pPr>
    <w:rPr>
      <w:sz w:val="22"/>
      <w:szCs w:val="22"/>
    </w:rPr>
  </w:style>
  <w:style w:type="paragraph" w:styleId="Heading6">
    <w:name w:val="heading 6"/>
    <w:basedOn w:val="Normal"/>
    <w:next w:val="Normal"/>
    <w:qFormat/>
    <w:rsid w:val="00CA7FC1"/>
    <w:pPr>
      <w:keepNext/>
      <w:keepLines/>
      <w:numPr>
        <w:ilvl w:val="5"/>
        <w:numId w:val="1"/>
      </w:numPr>
      <w:spacing w:before="120"/>
      <w:outlineLvl w:val="5"/>
    </w:pPr>
    <w:rPr>
      <w:rFonts w:cs="Arial"/>
    </w:rPr>
  </w:style>
  <w:style w:type="paragraph" w:styleId="Heading7">
    <w:name w:val="heading 7"/>
    <w:basedOn w:val="Normal"/>
    <w:next w:val="Normal"/>
    <w:qFormat/>
    <w:rsid w:val="00CA7FC1"/>
    <w:pPr>
      <w:keepNext/>
      <w:keepLines/>
      <w:numPr>
        <w:ilvl w:val="6"/>
        <w:numId w:val="1"/>
      </w:numPr>
      <w:spacing w:before="120"/>
      <w:outlineLvl w:val="6"/>
    </w:pPr>
    <w:rPr>
      <w:rFonts w:cs="Arial"/>
    </w:rPr>
  </w:style>
  <w:style w:type="paragraph" w:styleId="Heading8">
    <w:name w:val="heading 8"/>
    <w:basedOn w:val="Heading7"/>
    <w:next w:val="Normal"/>
    <w:qFormat/>
    <w:rsid w:val="00CA7FC1"/>
    <w:pPr>
      <w:numPr>
        <w:ilvl w:val="7"/>
      </w:numPr>
      <w:outlineLvl w:val="7"/>
    </w:pPr>
  </w:style>
  <w:style w:type="paragraph" w:styleId="Heading9">
    <w:name w:val="heading 9"/>
    <w:basedOn w:val="Heading8"/>
    <w:next w:val="Normal"/>
    <w:qFormat/>
    <w:rsid w:val="00CA7F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7FC1"/>
    <w:pPr>
      <w:spacing w:before="180"/>
      <w:ind w:left="2693" w:hanging="2693"/>
    </w:pPr>
    <w:rPr>
      <w:b w:val="0"/>
      <w:bCs/>
    </w:rPr>
  </w:style>
  <w:style w:type="paragraph" w:styleId="TOC1">
    <w:name w:val="toc 1"/>
    <w:aliases w:val="Observation TOC2"/>
    <w:uiPriority w:val="39"/>
    <w:rsid w:val="00CA7FC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A7FC1"/>
    <w:pPr>
      <w:keepNext/>
      <w:keepLines/>
      <w:spacing w:before="180"/>
      <w:jc w:val="center"/>
    </w:pPr>
  </w:style>
  <w:style w:type="paragraph" w:styleId="Caption">
    <w:name w:val="caption"/>
    <w:basedOn w:val="Normal"/>
    <w:next w:val="Normal"/>
    <w:qFormat/>
    <w:rsid w:val="00CA7FC1"/>
    <w:pPr>
      <w:spacing w:after="240"/>
      <w:jc w:val="center"/>
    </w:pPr>
    <w:rPr>
      <w:b/>
      <w:bCs/>
    </w:rPr>
  </w:style>
  <w:style w:type="paragraph" w:styleId="TOC5">
    <w:name w:val="toc 5"/>
    <w:aliases w:val="Observation TOC"/>
    <w:basedOn w:val="TOC4"/>
    <w:semiHidden/>
    <w:rsid w:val="00CA7FC1"/>
    <w:pPr>
      <w:tabs>
        <w:tab w:val="right" w:pos="1701"/>
      </w:tabs>
      <w:ind w:left="1701" w:hanging="1701"/>
    </w:pPr>
  </w:style>
  <w:style w:type="paragraph" w:styleId="TOC4">
    <w:name w:val="toc 4"/>
    <w:basedOn w:val="TOC3"/>
    <w:semiHidden/>
    <w:rsid w:val="00CA7FC1"/>
    <w:pPr>
      <w:ind w:left="1418" w:hanging="1418"/>
    </w:pPr>
  </w:style>
  <w:style w:type="paragraph" w:styleId="TOC3">
    <w:name w:val="toc 3"/>
    <w:basedOn w:val="TOC2"/>
    <w:semiHidden/>
    <w:rsid w:val="00CA7FC1"/>
    <w:pPr>
      <w:ind w:left="1134" w:hanging="1134"/>
    </w:pPr>
  </w:style>
  <w:style w:type="paragraph" w:styleId="TOC2">
    <w:name w:val="toc 2"/>
    <w:basedOn w:val="TOC1"/>
    <w:semiHidden/>
    <w:rsid w:val="00CA7FC1"/>
    <w:pPr>
      <w:keepNext w:val="0"/>
      <w:spacing w:before="0"/>
      <w:ind w:left="851" w:hanging="851"/>
    </w:pPr>
    <w:rPr>
      <w:szCs w:val="20"/>
    </w:rPr>
  </w:style>
  <w:style w:type="paragraph" w:styleId="Index2">
    <w:name w:val="index 2"/>
    <w:basedOn w:val="Index1"/>
    <w:semiHidden/>
    <w:rsid w:val="00CA7FC1"/>
    <w:pPr>
      <w:ind w:left="284"/>
    </w:pPr>
  </w:style>
  <w:style w:type="paragraph" w:styleId="Index1">
    <w:name w:val="index 1"/>
    <w:basedOn w:val="Normal"/>
    <w:semiHidden/>
    <w:rsid w:val="00CA7FC1"/>
    <w:pPr>
      <w:keepLines/>
      <w:spacing w:after="0"/>
    </w:pPr>
  </w:style>
  <w:style w:type="paragraph" w:styleId="DocumentMap">
    <w:name w:val="Document Map"/>
    <w:basedOn w:val="Normal"/>
    <w:semiHidden/>
    <w:rsid w:val="00CA7FC1"/>
    <w:pPr>
      <w:shd w:val="clear" w:color="auto" w:fill="000080"/>
    </w:pPr>
    <w:rPr>
      <w:rFonts w:ascii="Tahoma" w:hAnsi="Tahoma" w:cs="Tahoma"/>
    </w:rPr>
  </w:style>
  <w:style w:type="paragraph" w:styleId="ListNumber2">
    <w:name w:val="List Number 2"/>
    <w:basedOn w:val="ListNumber"/>
    <w:rsid w:val="00CA7FC1"/>
    <w:pPr>
      <w:ind w:left="851"/>
    </w:pPr>
  </w:style>
  <w:style w:type="paragraph" w:styleId="ListNumber">
    <w:name w:val="List Number"/>
    <w:basedOn w:val="List"/>
    <w:rsid w:val="00CA7FC1"/>
  </w:style>
  <w:style w:type="paragraph" w:styleId="List">
    <w:name w:val="List"/>
    <w:basedOn w:val="Normal"/>
    <w:rsid w:val="00CA7FC1"/>
    <w:pPr>
      <w:ind w:left="568" w:hanging="284"/>
    </w:pPr>
  </w:style>
  <w:style w:type="paragraph" w:styleId="Header">
    <w:name w:val="header"/>
    <w:rsid w:val="00CA7F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A7FC1"/>
    <w:rPr>
      <w:b/>
      <w:bCs/>
      <w:position w:val="6"/>
      <w:sz w:val="16"/>
      <w:szCs w:val="16"/>
    </w:rPr>
  </w:style>
  <w:style w:type="paragraph" w:styleId="FootnoteText">
    <w:name w:val="footnote text"/>
    <w:basedOn w:val="Normal"/>
    <w:semiHidden/>
    <w:rsid w:val="00CA7FC1"/>
    <w:pPr>
      <w:keepLines/>
      <w:spacing w:after="0"/>
      <w:ind w:left="454" w:hanging="454"/>
    </w:pPr>
    <w:rPr>
      <w:sz w:val="16"/>
      <w:szCs w:val="16"/>
    </w:rPr>
  </w:style>
  <w:style w:type="paragraph" w:customStyle="1" w:styleId="3GPPHeader">
    <w:name w:val="3GPP_Header"/>
    <w:basedOn w:val="Normal"/>
    <w:rsid w:val="00CA7FC1"/>
    <w:pPr>
      <w:tabs>
        <w:tab w:val="left" w:pos="1701"/>
        <w:tab w:val="right" w:pos="9639"/>
      </w:tabs>
      <w:spacing w:after="240"/>
    </w:pPr>
    <w:rPr>
      <w:b/>
      <w:sz w:val="24"/>
    </w:rPr>
  </w:style>
  <w:style w:type="paragraph" w:styleId="TOC9">
    <w:name w:val="toc 9"/>
    <w:basedOn w:val="TOC8"/>
    <w:semiHidden/>
    <w:rsid w:val="00CA7FC1"/>
    <w:pPr>
      <w:ind w:left="1418" w:hanging="1418"/>
    </w:pPr>
  </w:style>
  <w:style w:type="paragraph" w:styleId="TOC6">
    <w:name w:val="toc 6"/>
    <w:basedOn w:val="TOC5"/>
    <w:next w:val="Normal"/>
    <w:semiHidden/>
    <w:rsid w:val="00CA7FC1"/>
    <w:pPr>
      <w:ind w:left="1985" w:hanging="1985"/>
    </w:pPr>
  </w:style>
  <w:style w:type="paragraph" w:styleId="TOC7">
    <w:name w:val="toc 7"/>
    <w:basedOn w:val="TOC6"/>
    <w:next w:val="Normal"/>
    <w:semiHidden/>
    <w:rsid w:val="00CA7FC1"/>
    <w:pPr>
      <w:ind w:left="2268" w:hanging="2268"/>
    </w:pPr>
  </w:style>
  <w:style w:type="paragraph" w:styleId="ListBullet2">
    <w:name w:val="List Bullet 2"/>
    <w:basedOn w:val="ListBullet"/>
    <w:rsid w:val="00CA7FC1"/>
    <w:pPr>
      <w:numPr>
        <w:numId w:val="6"/>
      </w:numPr>
    </w:pPr>
  </w:style>
  <w:style w:type="paragraph" w:styleId="ListBullet">
    <w:name w:val="List Bullet"/>
    <w:basedOn w:val="BodyText"/>
    <w:rsid w:val="00CA7FC1"/>
    <w:pPr>
      <w:numPr>
        <w:numId w:val="5"/>
      </w:numPr>
    </w:pPr>
  </w:style>
  <w:style w:type="paragraph" w:styleId="ListBullet3">
    <w:name w:val="List Bullet 3"/>
    <w:basedOn w:val="ListBullet2"/>
    <w:rsid w:val="00CA7FC1"/>
    <w:pPr>
      <w:numPr>
        <w:numId w:val="7"/>
      </w:numPr>
    </w:pPr>
  </w:style>
  <w:style w:type="paragraph" w:customStyle="1" w:styleId="EQ">
    <w:name w:val="EQ"/>
    <w:basedOn w:val="Normal"/>
    <w:next w:val="Normal"/>
    <w:rsid w:val="00CA7FC1"/>
    <w:pPr>
      <w:keepLines/>
      <w:tabs>
        <w:tab w:val="center" w:pos="4536"/>
        <w:tab w:val="right" w:pos="9072"/>
      </w:tabs>
      <w:spacing w:after="180"/>
      <w:jc w:val="left"/>
    </w:pPr>
    <w:rPr>
      <w:noProof/>
      <w:lang w:eastAsia="en-US"/>
    </w:rPr>
  </w:style>
  <w:style w:type="paragraph" w:styleId="List2">
    <w:name w:val="List 2"/>
    <w:basedOn w:val="List"/>
    <w:rsid w:val="00CA7FC1"/>
    <w:pPr>
      <w:ind w:left="851"/>
    </w:pPr>
  </w:style>
  <w:style w:type="paragraph" w:styleId="List3">
    <w:name w:val="List 3"/>
    <w:basedOn w:val="List2"/>
    <w:rsid w:val="00CA7FC1"/>
    <w:pPr>
      <w:ind w:left="1135"/>
    </w:pPr>
  </w:style>
  <w:style w:type="paragraph" w:styleId="List4">
    <w:name w:val="List 4"/>
    <w:basedOn w:val="List3"/>
    <w:rsid w:val="00CA7FC1"/>
    <w:pPr>
      <w:ind w:left="1418"/>
    </w:pPr>
  </w:style>
  <w:style w:type="paragraph" w:styleId="List5">
    <w:name w:val="List 5"/>
    <w:basedOn w:val="List4"/>
    <w:rsid w:val="00CA7FC1"/>
    <w:pPr>
      <w:ind w:left="1702"/>
    </w:pPr>
  </w:style>
  <w:style w:type="paragraph" w:customStyle="1" w:styleId="EditorsNote">
    <w:name w:val="Editor's Note"/>
    <w:basedOn w:val="Normal"/>
    <w:rsid w:val="00CA7FC1"/>
    <w:pPr>
      <w:keepLines/>
      <w:spacing w:after="180"/>
      <w:ind w:left="1135" w:hanging="851"/>
      <w:jc w:val="left"/>
    </w:pPr>
    <w:rPr>
      <w:color w:val="FF0000"/>
      <w:lang w:eastAsia="en-US"/>
    </w:rPr>
  </w:style>
  <w:style w:type="paragraph" w:styleId="ListBullet4">
    <w:name w:val="List Bullet 4"/>
    <w:basedOn w:val="ListBullet3"/>
    <w:rsid w:val="00CA7FC1"/>
    <w:pPr>
      <w:numPr>
        <w:numId w:val="8"/>
      </w:numPr>
    </w:pPr>
  </w:style>
  <w:style w:type="paragraph" w:styleId="ListBullet5">
    <w:name w:val="List Bullet 5"/>
    <w:basedOn w:val="ListBullet4"/>
    <w:rsid w:val="00CA7FC1"/>
    <w:pPr>
      <w:numPr>
        <w:numId w:val="4"/>
      </w:numPr>
    </w:pPr>
  </w:style>
  <w:style w:type="paragraph" w:styleId="Footer">
    <w:name w:val="footer"/>
    <w:basedOn w:val="Header"/>
    <w:semiHidden/>
    <w:rsid w:val="00CA7FC1"/>
    <w:pPr>
      <w:jc w:val="center"/>
    </w:pPr>
    <w:rPr>
      <w:i/>
      <w:iCs/>
    </w:rPr>
  </w:style>
  <w:style w:type="paragraph" w:customStyle="1" w:styleId="Reference">
    <w:name w:val="Reference"/>
    <w:basedOn w:val="Normal"/>
    <w:rsid w:val="00CA7FC1"/>
    <w:pPr>
      <w:numPr>
        <w:numId w:val="2"/>
      </w:numPr>
    </w:pPr>
  </w:style>
  <w:style w:type="paragraph" w:styleId="BalloonText">
    <w:name w:val="Balloon Text"/>
    <w:basedOn w:val="Normal"/>
    <w:semiHidden/>
    <w:rsid w:val="00CA7FC1"/>
    <w:rPr>
      <w:rFonts w:ascii="Tahoma" w:hAnsi="Tahoma" w:cs="Tahoma"/>
      <w:sz w:val="16"/>
      <w:szCs w:val="16"/>
    </w:rPr>
  </w:style>
  <w:style w:type="character" w:styleId="PageNumber">
    <w:name w:val="page number"/>
    <w:basedOn w:val="DefaultParagraphFont"/>
    <w:semiHidden/>
    <w:rsid w:val="00CA7FC1"/>
  </w:style>
  <w:style w:type="paragraph" w:styleId="BodyText">
    <w:name w:val="Body Text"/>
    <w:basedOn w:val="Normal"/>
    <w:link w:val="BodyTextChar"/>
    <w:rsid w:val="00CA7FC1"/>
  </w:style>
  <w:style w:type="character" w:styleId="Hyperlink">
    <w:name w:val="Hyperlink"/>
    <w:uiPriority w:val="99"/>
    <w:rsid w:val="00CA7FC1"/>
    <w:rPr>
      <w:color w:val="0000FF"/>
      <w:u w:val="single"/>
      <w:lang w:val="en-GB"/>
    </w:rPr>
  </w:style>
  <w:style w:type="character" w:styleId="FollowedHyperlink">
    <w:name w:val="FollowedHyperlink"/>
    <w:semiHidden/>
    <w:rsid w:val="00CA7FC1"/>
    <w:rPr>
      <w:color w:val="FF0000"/>
      <w:u w:val="single"/>
    </w:rPr>
  </w:style>
  <w:style w:type="character" w:styleId="CommentReference">
    <w:name w:val="annotation reference"/>
    <w:semiHidden/>
    <w:rsid w:val="00CA7FC1"/>
    <w:rPr>
      <w:sz w:val="16"/>
      <w:szCs w:val="16"/>
    </w:rPr>
  </w:style>
  <w:style w:type="paragraph" w:styleId="CommentText">
    <w:name w:val="annotation text"/>
    <w:basedOn w:val="Normal"/>
    <w:semiHidden/>
    <w:rsid w:val="00CA7FC1"/>
  </w:style>
  <w:style w:type="paragraph" w:styleId="CommentSubject">
    <w:name w:val="annotation subject"/>
    <w:basedOn w:val="CommentText"/>
    <w:next w:val="CommentText"/>
    <w:semiHidden/>
    <w:rsid w:val="00CA7FC1"/>
    <w:rPr>
      <w:b/>
      <w:bCs/>
    </w:rPr>
  </w:style>
  <w:style w:type="character" w:customStyle="1" w:styleId="Heading1Char">
    <w:name w:val="Heading 1 Char"/>
    <w:link w:val="Heading1"/>
    <w:rsid w:val="00CA7FC1"/>
    <w:rPr>
      <w:rFonts w:ascii="Arial" w:hAnsi="Arial" w:cs="Arial"/>
      <w:sz w:val="36"/>
      <w:szCs w:val="36"/>
      <w:lang w:val="en-GB" w:eastAsia="zh-CN"/>
    </w:rPr>
  </w:style>
  <w:style w:type="paragraph" w:customStyle="1" w:styleId="B1">
    <w:name w:val="B1"/>
    <w:basedOn w:val="List"/>
    <w:rsid w:val="00CA7FC1"/>
    <w:pPr>
      <w:spacing w:after="180"/>
      <w:jc w:val="left"/>
    </w:pPr>
    <w:rPr>
      <w:lang w:eastAsia="en-US"/>
    </w:rPr>
  </w:style>
  <w:style w:type="paragraph" w:customStyle="1" w:styleId="B2">
    <w:name w:val="B2"/>
    <w:basedOn w:val="List2"/>
    <w:rsid w:val="00CA7FC1"/>
    <w:pPr>
      <w:spacing w:after="180"/>
      <w:jc w:val="left"/>
    </w:pPr>
    <w:rPr>
      <w:lang w:eastAsia="en-US"/>
    </w:rPr>
  </w:style>
  <w:style w:type="paragraph" w:customStyle="1" w:styleId="B3">
    <w:name w:val="B3"/>
    <w:basedOn w:val="List3"/>
    <w:rsid w:val="00CA7FC1"/>
    <w:pPr>
      <w:spacing w:after="180"/>
      <w:jc w:val="left"/>
    </w:pPr>
    <w:rPr>
      <w:lang w:eastAsia="en-US"/>
    </w:rPr>
  </w:style>
  <w:style w:type="paragraph" w:customStyle="1" w:styleId="B4">
    <w:name w:val="B4"/>
    <w:basedOn w:val="List4"/>
    <w:rsid w:val="00CA7FC1"/>
    <w:pPr>
      <w:spacing w:after="180"/>
      <w:jc w:val="left"/>
    </w:pPr>
    <w:rPr>
      <w:lang w:eastAsia="en-US"/>
    </w:rPr>
  </w:style>
  <w:style w:type="paragraph" w:customStyle="1" w:styleId="Proposal">
    <w:name w:val="Proposal"/>
    <w:basedOn w:val="Normal"/>
    <w:rsid w:val="00CA7FC1"/>
    <w:pPr>
      <w:numPr>
        <w:numId w:val="3"/>
      </w:numPr>
      <w:tabs>
        <w:tab w:val="clear" w:pos="1304"/>
        <w:tab w:val="left" w:pos="1701"/>
      </w:tabs>
      <w:ind w:left="1701" w:hanging="1701"/>
    </w:pPr>
    <w:rPr>
      <w:b/>
      <w:bCs/>
    </w:rPr>
  </w:style>
  <w:style w:type="character" w:customStyle="1" w:styleId="BodyTextChar">
    <w:name w:val="Body Text Char"/>
    <w:link w:val="BodyText"/>
    <w:rsid w:val="00CA7FC1"/>
    <w:rPr>
      <w:rFonts w:ascii="Arial" w:hAnsi="Arial"/>
      <w:lang w:val="en-GB" w:eastAsia="zh-CN"/>
    </w:rPr>
  </w:style>
  <w:style w:type="paragraph" w:customStyle="1" w:styleId="B5">
    <w:name w:val="B5"/>
    <w:basedOn w:val="List5"/>
    <w:rsid w:val="00CA7FC1"/>
    <w:pPr>
      <w:spacing w:after="180"/>
      <w:jc w:val="left"/>
    </w:pPr>
    <w:rPr>
      <w:lang w:eastAsia="en-US"/>
    </w:rPr>
  </w:style>
  <w:style w:type="paragraph" w:customStyle="1" w:styleId="EX">
    <w:name w:val="EX"/>
    <w:basedOn w:val="Normal"/>
    <w:rsid w:val="00CA7FC1"/>
    <w:pPr>
      <w:keepLines/>
      <w:spacing w:after="180"/>
      <w:ind w:left="1702" w:hanging="1418"/>
      <w:jc w:val="left"/>
    </w:pPr>
    <w:rPr>
      <w:lang w:eastAsia="en-US"/>
    </w:rPr>
  </w:style>
  <w:style w:type="paragraph" w:customStyle="1" w:styleId="EW">
    <w:name w:val="EW"/>
    <w:basedOn w:val="EX"/>
    <w:rsid w:val="00CA7FC1"/>
    <w:pPr>
      <w:spacing w:after="0"/>
    </w:pPr>
  </w:style>
  <w:style w:type="paragraph" w:customStyle="1" w:styleId="TAL">
    <w:name w:val="TAL"/>
    <w:basedOn w:val="Normal"/>
    <w:rsid w:val="00CA7FC1"/>
    <w:pPr>
      <w:keepNext/>
      <w:keepLines/>
      <w:spacing w:after="0"/>
      <w:jc w:val="left"/>
    </w:pPr>
    <w:rPr>
      <w:sz w:val="18"/>
      <w:lang w:eastAsia="en-US"/>
    </w:rPr>
  </w:style>
  <w:style w:type="paragraph" w:customStyle="1" w:styleId="TAC">
    <w:name w:val="TAC"/>
    <w:basedOn w:val="TAL"/>
    <w:rsid w:val="00CA7FC1"/>
    <w:pPr>
      <w:jc w:val="center"/>
    </w:pPr>
  </w:style>
  <w:style w:type="paragraph" w:customStyle="1" w:styleId="TAH">
    <w:name w:val="TAH"/>
    <w:basedOn w:val="TAC"/>
    <w:rsid w:val="00CA7FC1"/>
    <w:rPr>
      <w:b/>
    </w:rPr>
  </w:style>
  <w:style w:type="paragraph" w:customStyle="1" w:styleId="TAN">
    <w:name w:val="TAN"/>
    <w:basedOn w:val="TAL"/>
    <w:rsid w:val="00CA7FC1"/>
    <w:pPr>
      <w:ind w:left="851" w:hanging="851"/>
    </w:pPr>
  </w:style>
  <w:style w:type="paragraph" w:customStyle="1" w:styleId="TAR">
    <w:name w:val="TAR"/>
    <w:basedOn w:val="TAL"/>
    <w:rsid w:val="00CA7FC1"/>
    <w:pPr>
      <w:jc w:val="right"/>
    </w:pPr>
  </w:style>
  <w:style w:type="paragraph" w:customStyle="1" w:styleId="TH">
    <w:name w:val="TH"/>
    <w:basedOn w:val="Normal"/>
    <w:rsid w:val="00CA7FC1"/>
    <w:pPr>
      <w:keepNext/>
      <w:keepLines/>
      <w:spacing w:before="60" w:after="180"/>
      <w:jc w:val="center"/>
    </w:pPr>
    <w:rPr>
      <w:b/>
      <w:lang w:eastAsia="en-US"/>
    </w:rPr>
  </w:style>
  <w:style w:type="paragraph" w:customStyle="1" w:styleId="TF">
    <w:name w:val="TF"/>
    <w:basedOn w:val="TH"/>
    <w:rsid w:val="00CA7FC1"/>
    <w:pPr>
      <w:keepNext w:val="0"/>
      <w:spacing w:before="0" w:after="240"/>
    </w:pPr>
  </w:style>
  <w:style w:type="paragraph" w:customStyle="1" w:styleId="TT">
    <w:name w:val="TT"/>
    <w:basedOn w:val="Heading1"/>
    <w:next w:val="Normal"/>
    <w:rsid w:val="00CA7FC1"/>
    <w:pPr>
      <w:numPr>
        <w:numId w:val="0"/>
      </w:numPr>
      <w:ind w:left="1134" w:hanging="1134"/>
      <w:outlineLvl w:val="9"/>
    </w:pPr>
    <w:rPr>
      <w:rFonts w:cs="Times New Roman"/>
      <w:szCs w:val="20"/>
      <w:lang w:eastAsia="en-US"/>
    </w:rPr>
  </w:style>
  <w:style w:type="paragraph" w:customStyle="1" w:styleId="ZA">
    <w:name w:val="ZA"/>
    <w:rsid w:val="00CA7F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7F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7F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7F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A7FC1"/>
  </w:style>
  <w:style w:type="paragraph" w:customStyle="1" w:styleId="ZH">
    <w:name w:val="ZH"/>
    <w:rsid w:val="00CA7F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A7F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A7FC1"/>
    <w:pPr>
      <w:framePr w:hRule="auto" w:wrap="notBeside" w:y="852"/>
    </w:pPr>
    <w:rPr>
      <w:i w:val="0"/>
      <w:sz w:val="40"/>
    </w:rPr>
  </w:style>
  <w:style w:type="paragraph" w:customStyle="1" w:styleId="ZU">
    <w:name w:val="ZU"/>
    <w:rsid w:val="00CA7F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7FC1"/>
    <w:pPr>
      <w:framePr w:wrap="notBeside" w:y="16161"/>
    </w:pPr>
  </w:style>
  <w:style w:type="paragraph" w:customStyle="1" w:styleId="FP">
    <w:name w:val="FP"/>
    <w:basedOn w:val="Normal"/>
    <w:rsid w:val="00CA7FC1"/>
    <w:pPr>
      <w:spacing w:after="0"/>
      <w:jc w:val="left"/>
    </w:pPr>
    <w:rPr>
      <w:lang w:eastAsia="en-US"/>
    </w:rPr>
  </w:style>
  <w:style w:type="paragraph" w:customStyle="1" w:styleId="Observation">
    <w:name w:val="Observation"/>
    <w:basedOn w:val="Proposal"/>
    <w:qFormat/>
    <w:rsid w:val="00CA7FC1"/>
    <w:pPr>
      <w:numPr>
        <w:numId w:val="13"/>
      </w:numPr>
      <w:ind w:left="1701" w:hanging="1701"/>
    </w:pPr>
  </w:style>
  <w:style w:type="paragraph" w:styleId="TableofFigures">
    <w:name w:val="table of figures"/>
    <w:basedOn w:val="Normal"/>
    <w:next w:val="Normal"/>
    <w:uiPriority w:val="99"/>
    <w:rsid w:val="00CA7FC1"/>
    <w:pPr>
      <w:ind w:left="1418" w:hanging="1418"/>
      <w:jc w:val="left"/>
    </w:pPr>
    <w:rPr>
      <w:b/>
    </w:rPr>
  </w:style>
  <w:style w:type="paragraph" w:customStyle="1" w:styleId="Doc-text2">
    <w:name w:val="Doc-text2"/>
    <w:basedOn w:val="Normal"/>
    <w:link w:val="Doc-text2Char"/>
    <w:qFormat/>
    <w:rsid w:val="00CA7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A7FC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5NUHHDQN7SK2-1476151046-24936</_dlc_DocId>
    <_dlc_DocIdUrl xmlns="f166a696-7b5b-4ccd-9f0c-ffde0cceec81">
      <Url>https://ericsson.sharepoint.com/sites/star/_layouts/15/DocIdRedir.aspx?ID=5NUHHDQN7SK2-1476151046-24936</Url>
      <Description>5NUHHDQN7SK2-1476151046-24936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f166a696-7b5b-4ccd-9f0c-ffde0cceec81"/>
    <ds:schemaRef ds:uri="http://schemas.openxmlformats.org/package/2006/metadata/core-properties"/>
    <ds:schemaRef ds:uri="http://schemas.microsoft.com/sharepoint/v4"/>
    <ds:schemaRef ds:uri="d8762117-8292-4133-b1c7-eab5c6487cfd"/>
    <ds:schemaRef ds:uri="611109f9-ed58-4498-a270-1fb2086a5321"/>
    <ds:schemaRef ds:uri="http://purl.org/dc/dcmitype/"/>
  </ds:schemaRefs>
</ds:datastoreItem>
</file>

<file path=customXml/itemProps7.xml><?xml version="1.0" encoding="utf-8"?>
<ds:datastoreItem xmlns:ds="http://schemas.openxmlformats.org/officeDocument/2006/customXml" ds:itemID="{275A6141-D753-41BB-B96C-1553FA31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76</TotalTime>
  <Pages>2</Pages>
  <Words>867</Words>
  <Characters>4144</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Ericsson</cp:lastModifiedBy>
  <cp:revision>17</cp:revision>
  <cp:lastPrinted>2008-01-31T16:09:00Z</cp:lastPrinted>
  <dcterms:created xsi:type="dcterms:W3CDTF">2018-06-16T12:26:00Z</dcterms:created>
  <dcterms:modified xsi:type="dcterms:W3CDTF">2018-06-21T14:17:00Z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bc7e512a-d836-45bf-be85-249d0a8e2d67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